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854" w:rsidRDefault="00AB77BE">
      <w:pPr>
        <w:pStyle w:val="1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0" w:after="0"/>
      </w:pPr>
      <w:bookmarkStart w:id="0" w:name="_GoBack"/>
      <w:bookmarkEnd w:id="0"/>
      <w:r>
        <w:rPr>
          <w:b/>
          <w:color w:val="332B24"/>
          <w:sz w:val="45"/>
        </w:rPr>
        <w:t>Реовирусная инфекция (REO) у птицы</w:t>
      </w:r>
    </w:p>
    <w:p w:rsidR="00417854" w:rsidRDefault="00417854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right="75"/>
      </w:pP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Реовирусный теносиновит птиц (РЕО) — собирательное название нескольких заболеваний, характеризующихся поражением синовиальных оболочек, сухожильных влагалищ, высокой ранней смертностью, плохим ростом, снижением яйценоскости и выводимости.</w:t>
      </w:r>
    </w:p>
    <w:p w:rsidR="00417854" w:rsidRDefault="00AB77BE">
      <w:pPr>
        <w:pStyle w:val="2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450" w:line="492" w:lineRule="atLeast"/>
      </w:pPr>
      <w:r>
        <w:rPr>
          <w:b/>
          <w:color w:val="332B24"/>
          <w:sz w:val="38"/>
        </w:rPr>
        <w:t>Этиология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Возбуди</w:t>
      </w:r>
      <w:r>
        <w:rPr>
          <w:rFonts w:ascii="Arial" w:eastAsia="Arial" w:hAnsi="Arial" w:cs="Arial"/>
          <w:color w:val="332B24"/>
          <w:sz w:val="24"/>
        </w:rPr>
        <w:t>тель - вирус семейства </w:t>
      </w:r>
      <w:r>
        <w:rPr>
          <w:rFonts w:ascii="Arial" w:eastAsia="Arial" w:hAnsi="Arial" w:cs="Arial"/>
          <w:i/>
          <w:color w:val="332B24"/>
          <w:sz w:val="24"/>
        </w:rPr>
        <w:t>Reoviridae</w:t>
      </w:r>
      <w:r>
        <w:rPr>
          <w:rFonts w:ascii="Arial" w:eastAsia="Arial" w:hAnsi="Arial" w:cs="Arial"/>
          <w:color w:val="332B24"/>
          <w:sz w:val="24"/>
        </w:rPr>
        <w:t>. Известны 11 серотипов. Наиболее распространенными среди патогенных штаммов являются S1133, 1733, 2408, ERS. 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 xml:space="preserve">По одной версии, считается, что штаммы различных серотипов способны индуцировать различные формы проявления РЕО </w:t>
      </w:r>
      <w:r>
        <w:rPr>
          <w:rFonts w:ascii="Arial" w:eastAsia="Arial" w:hAnsi="Arial" w:cs="Arial"/>
          <w:color w:val="332B24"/>
          <w:sz w:val="24"/>
        </w:rPr>
        <w:t>у птиц, по другой - один и тот же штамм способен инициировать синдром мальабсорбции у молодняка, а у более старших птиц вызывать теносиновит, поэтому деление РЕО на самостоятельные болезни весьма условно.</w:t>
      </w:r>
    </w:p>
    <w:p w:rsidR="00417854" w:rsidRDefault="00AB77BE">
      <w:pPr>
        <w:pStyle w:val="2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450" w:line="492" w:lineRule="atLeast"/>
      </w:pPr>
      <w:r>
        <w:rPr>
          <w:b/>
          <w:color w:val="332B24"/>
          <w:sz w:val="38"/>
        </w:rPr>
        <w:t>Эпизоотология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Восприимчивы куры, индейки, фазаны. Н</w:t>
      </w:r>
      <w:r>
        <w:rPr>
          <w:rFonts w:ascii="Arial" w:eastAsia="Arial" w:hAnsi="Arial" w:cs="Arial"/>
          <w:color w:val="332B24"/>
          <w:sz w:val="24"/>
        </w:rPr>
        <w:t>аиболее чувствительны цыплята мясного направления 1-6 дневного возраста, но характерные клинико-патоморфологические признаки болезни, как правило, проявляются в 30-35-дневном возрасте.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Источник инфекции - больная и переболевшая птица. Вирусоносительство пр</w:t>
      </w:r>
      <w:r>
        <w:rPr>
          <w:rFonts w:ascii="Arial" w:eastAsia="Arial" w:hAnsi="Arial" w:cs="Arial"/>
          <w:color w:val="332B24"/>
          <w:sz w:val="24"/>
        </w:rPr>
        <w:t>одолжается до 289 суток. Вирус передается горизонтально и вертикально в течение 14-61 суток после инфицирования кур-несушек. Чаще РЕО проявляется в условиях различных стрессовых воздействий, при ассоциированном течении с другими инфекционными болезнями.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Реовирус отличается низкой иммуногенностью. Специфические антитела появляются только к 17 дням после заражения в невысоких титрах и исчезают через 12 – 15 суток. Материнские антитела надежно защищают поголовье от инфицирования. У мясных кроссов птиц сероло</w:t>
      </w:r>
      <w:r>
        <w:rPr>
          <w:rFonts w:ascii="Arial" w:eastAsia="Arial" w:hAnsi="Arial" w:cs="Arial"/>
          <w:color w:val="332B24"/>
          <w:sz w:val="24"/>
        </w:rPr>
        <w:t>гическая реакция на реовирус замедленная и продолжается на 1 неделю дольше чем у яйценоских.</w:t>
      </w:r>
    </w:p>
    <w:p w:rsidR="00417854" w:rsidRDefault="00AB77BE">
      <w:pPr>
        <w:pStyle w:val="2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450" w:line="492" w:lineRule="atLeast"/>
      </w:pPr>
      <w:r>
        <w:rPr>
          <w:b/>
          <w:color w:val="332B24"/>
          <w:sz w:val="38"/>
        </w:rPr>
        <w:t>Клинические признаки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Протекает остро, подостро у цыплят и хронически у взрослых кур. Инкубационный период при инфицировании цыплят в подошву конечностей составляет</w:t>
      </w:r>
      <w:r>
        <w:rPr>
          <w:rFonts w:ascii="Arial" w:eastAsia="Arial" w:hAnsi="Arial" w:cs="Arial"/>
          <w:color w:val="332B24"/>
          <w:sz w:val="24"/>
        </w:rPr>
        <w:t xml:space="preserve"> 24 ч, при других способах — от 1 до 11 суток. 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lastRenderedPageBreak/>
        <w:t>Первые симптомы наблюдаются у цыплят-бройлеров в возрасте 2—10 недель. Регистрируют повышенную смертность, артрит/теносиновит, неоднородность стада. Отмечают неправильное положение перьев, особенно на крыльях</w:t>
      </w:r>
      <w:r>
        <w:rPr>
          <w:rFonts w:ascii="Arial" w:eastAsia="Arial" w:hAnsi="Arial" w:cs="Arial"/>
          <w:color w:val="332B24"/>
          <w:sz w:val="24"/>
        </w:rPr>
        <w:t>. При хроническом течении - разрыв голеностопных сухожилий.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6170152" cy="411343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35904280" name=""/>
                        <pic:cNvPicPr>
                          <a:picLocks noChangeAspect="1"/>
                        </pic:cNvPicPr>
                      </pic:nvPicPr>
                      <pic:blipFill>
                        <a:blip r:embed="rId7"/>
                        <a:stretch/>
                      </pic:blipFill>
                      <pic:spPr bwMode="auto">
                        <a:xfrm>
                          <a:off x="0" y="0"/>
                          <a:ext cx="6170152" cy="41134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485.84pt;height:323.89pt;mso-wrap-distance-left:0.00pt;mso-wrap-distance-top:0.00pt;mso-wrap-distance-right:0.00pt;mso-wrap-distance-bottom:0.00pt;" stroked="false">
                <v:path textboxrect="0,0,0,0"/>
                <v:imagedata r:id="rId9" o:title=""/>
              </v:shape>
            </w:pict>
          </mc:Fallback>
        </mc:AlternateContent>
      </w:r>
      <w:r>
        <w:br/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У несушек </w:t>
      </w:r>
      <w:hyperlink r:id="rId10" w:tooltip="https://www.nita-farm.ru/vetvracham/pticy/disease-sindrom-snizheniya-yaytsenoskosti-eds/" w:history="1">
        <w:r>
          <w:rPr>
            <w:rStyle w:val="af"/>
            <w:rFonts w:ascii="Arial" w:eastAsia="Arial" w:hAnsi="Arial" w:cs="Arial"/>
            <w:color w:val="009959"/>
            <w:sz w:val="24"/>
            <w:u w:val="none"/>
          </w:rPr>
          <w:t>яйценоскость снижается</w:t>
        </w:r>
      </w:hyperlink>
      <w:r>
        <w:rPr>
          <w:rFonts w:ascii="Arial" w:eastAsia="Arial" w:hAnsi="Arial" w:cs="Arial"/>
          <w:color w:val="332B24"/>
          <w:sz w:val="24"/>
        </w:rPr>
        <w:t> на 15-20%, развивается асептическое пролиферативное воспаление сухожилий конечностей. Поражение суставов у петухов в племенных хозяйствах вызывает снижение их половой активности и процента оплодотворяемости яиц.</w:t>
      </w:r>
    </w:p>
    <w:p w:rsidR="00417854" w:rsidRDefault="00AB77BE">
      <w:pPr>
        <w:pStyle w:val="2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450" w:line="492" w:lineRule="atLeast"/>
      </w:pPr>
      <w:r>
        <w:rPr>
          <w:b/>
          <w:color w:val="332B24"/>
          <w:sz w:val="38"/>
        </w:rPr>
        <w:t>Патом</w:t>
      </w:r>
      <w:r>
        <w:rPr>
          <w:b/>
          <w:color w:val="332B24"/>
          <w:sz w:val="38"/>
        </w:rPr>
        <w:t>орфология  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На </w:t>
      </w:r>
      <w:r>
        <w:rPr>
          <w:rFonts w:ascii="Arial" w:eastAsia="Arial" w:hAnsi="Arial" w:cs="Arial"/>
          <w:b/>
          <w:color w:val="332B24"/>
          <w:sz w:val="24"/>
        </w:rPr>
        <w:t>раннем этапе</w:t>
      </w:r>
      <w:r>
        <w:rPr>
          <w:rFonts w:ascii="Arial" w:eastAsia="Arial" w:hAnsi="Arial" w:cs="Arial"/>
          <w:color w:val="332B24"/>
          <w:sz w:val="24"/>
        </w:rPr>
        <w:t> выраженный отек сухожильных влагалищ предплюсневого и плюсневого суставов. 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При </w:t>
      </w:r>
      <w:r>
        <w:rPr>
          <w:rFonts w:ascii="Arial" w:eastAsia="Arial" w:hAnsi="Arial" w:cs="Arial"/>
          <w:b/>
          <w:color w:val="332B24"/>
          <w:sz w:val="24"/>
        </w:rPr>
        <w:t>остром течении</w:t>
      </w:r>
      <w:r>
        <w:rPr>
          <w:rFonts w:ascii="Arial" w:eastAsia="Arial" w:hAnsi="Arial" w:cs="Arial"/>
          <w:color w:val="332B24"/>
          <w:sz w:val="24"/>
        </w:rPr>
        <w:t> в суставных полостях экссудат соломенного или красного цвета. При </w:t>
      </w:r>
      <w:r>
        <w:rPr>
          <w:rFonts w:ascii="Arial" w:eastAsia="Arial" w:hAnsi="Arial" w:cs="Arial"/>
          <w:b/>
          <w:color w:val="332B24"/>
          <w:sz w:val="24"/>
        </w:rPr>
        <w:t>хроническом</w:t>
      </w:r>
      <w:r>
        <w:rPr>
          <w:rFonts w:ascii="Arial" w:eastAsia="Arial" w:hAnsi="Arial" w:cs="Arial"/>
          <w:color w:val="332B24"/>
          <w:sz w:val="24"/>
        </w:rPr>
        <w:t> - синовиальная оболочка резко утолщена и обызвествлена.</w:t>
      </w:r>
      <w:r>
        <w:rPr>
          <w:rFonts w:ascii="Arial" w:eastAsia="Arial" w:hAnsi="Arial" w:cs="Arial"/>
          <w:color w:val="332B24"/>
          <w:sz w:val="24"/>
        </w:rPr>
        <w:t xml:space="preserve"> Разрыв сухожилий мышц вызывает кровоподтеки в подкожной клетчатке и некроз сухожилий в местах их разрыва. Синдром «расстройства всасывания» характеризуется увеличением железистого желудка, иногда с некрозом и признаками катарально-геморрагического энтерит</w:t>
      </w:r>
      <w:r>
        <w:rPr>
          <w:rFonts w:ascii="Arial" w:eastAsia="Arial" w:hAnsi="Arial" w:cs="Arial"/>
          <w:color w:val="332B24"/>
          <w:sz w:val="24"/>
        </w:rPr>
        <w:t>а. Птица отстает в развитии.</w:t>
      </w:r>
    </w:p>
    <w:p w:rsidR="00417854" w:rsidRDefault="00AB77BE">
      <w:pPr>
        <w:pStyle w:val="2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450" w:line="492" w:lineRule="atLeast"/>
      </w:pPr>
      <w:r>
        <w:rPr>
          <w:b/>
          <w:color w:val="332B24"/>
          <w:sz w:val="38"/>
        </w:rPr>
        <w:lastRenderedPageBreak/>
        <w:t>Диагностика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25" w:after="225" w:line="315" w:lineRule="atLeast"/>
        <w:jc w:val="both"/>
      </w:pPr>
      <w:r>
        <w:rPr>
          <w:rFonts w:ascii="Arial" w:eastAsia="Arial" w:hAnsi="Arial" w:cs="Arial"/>
          <w:color w:val="332B24"/>
          <w:sz w:val="24"/>
        </w:rPr>
        <w:t>На основании эпизоотологических данных, клинических признаков, патологоанатомических изменений и лабораторных исследований. Положительная сероконверсия в ИФА не является доказательством диагноза, для постановки окон</w:t>
      </w:r>
      <w:r>
        <w:rPr>
          <w:rFonts w:ascii="Arial" w:eastAsia="Arial" w:hAnsi="Arial" w:cs="Arial"/>
          <w:color w:val="332B24"/>
          <w:sz w:val="24"/>
        </w:rPr>
        <w:t>чательного диагноза необходимо гистопатологическое исследование пораженных тканей и ПЦР.</w:t>
      </w:r>
    </w:p>
    <w:p w:rsidR="00417854" w:rsidRDefault="00AB77BE">
      <w:pPr>
        <w:pStyle w:val="2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450" w:line="492" w:lineRule="atLeast"/>
      </w:pPr>
      <w:r>
        <w:rPr>
          <w:b/>
          <w:color w:val="332B24"/>
          <w:sz w:val="38"/>
        </w:rPr>
        <w:t>Профилактика</w:t>
      </w:r>
    </w:p>
    <w:p w:rsidR="00417854" w:rsidRDefault="00AB77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74" w:lineRule="atLeast"/>
        <w:jc w:val="both"/>
      </w:pPr>
      <w:r>
        <w:rPr>
          <w:rFonts w:ascii="Arial" w:eastAsia="Arial" w:hAnsi="Arial" w:cs="Arial"/>
          <w:color w:val="332B24"/>
          <w:sz w:val="24"/>
        </w:rPr>
        <w:t>Сводится к обеспечению высокого уровня биобезопасности, качественной дезинфекции между циклами и вакцинации племенных стад бройлеров. Цель иммунизации родительских стад - получение высоких титров трансовариальных антител для защиты молодняка в раннем возра</w:t>
      </w:r>
      <w:r>
        <w:rPr>
          <w:rFonts w:ascii="Arial" w:eastAsia="Arial" w:hAnsi="Arial" w:cs="Arial"/>
          <w:color w:val="332B24"/>
          <w:sz w:val="24"/>
        </w:rPr>
        <w:t>сте. Практикуется комбинированное применение живых и инактивированных вакцин, но единой и универсальной программы профилактики РЕО не существует.</w:t>
      </w:r>
    </w:p>
    <w:p w:rsidR="00417854" w:rsidRDefault="00417854"/>
    <w:sectPr w:rsidR="0041785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854" w:rsidRDefault="00AB77BE">
      <w:pPr>
        <w:spacing w:after="0" w:line="240" w:lineRule="auto"/>
      </w:pPr>
      <w:r>
        <w:separator/>
      </w:r>
    </w:p>
  </w:endnote>
  <w:endnote w:type="continuationSeparator" w:id="0">
    <w:p w:rsidR="00417854" w:rsidRDefault="00AB7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854" w:rsidRDefault="00AB77BE">
      <w:pPr>
        <w:spacing w:after="0" w:line="240" w:lineRule="auto"/>
      </w:pPr>
      <w:r>
        <w:separator/>
      </w:r>
    </w:p>
  </w:footnote>
  <w:footnote w:type="continuationSeparator" w:id="0">
    <w:p w:rsidR="00417854" w:rsidRDefault="00AB77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555431"/>
    <w:multiLevelType w:val="hybridMultilevel"/>
    <w:tmpl w:val="5A9470C0"/>
    <w:lvl w:ilvl="0" w:tplc="E348F2F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9959"/>
        <w:sz w:val="21"/>
      </w:rPr>
    </w:lvl>
    <w:lvl w:ilvl="1" w:tplc="C556F47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9959"/>
        <w:sz w:val="21"/>
      </w:rPr>
    </w:lvl>
    <w:lvl w:ilvl="2" w:tplc="4D4CDAA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9959"/>
        <w:sz w:val="21"/>
      </w:rPr>
    </w:lvl>
    <w:lvl w:ilvl="3" w:tplc="1096C5E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9959"/>
        <w:sz w:val="21"/>
      </w:rPr>
    </w:lvl>
    <w:lvl w:ilvl="4" w:tplc="1E5887A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9959"/>
        <w:sz w:val="21"/>
      </w:rPr>
    </w:lvl>
    <w:lvl w:ilvl="5" w:tplc="BDA63F4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9959"/>
        <w:sz w:val="21"/>
      </w:rPr>
    </w:lvl>
    <w:lvl w:ilvl="6" w:tplc="3DF8E84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9959"/>
        <w:sz w:val="21"/>
      </w:rPr>
    </w:lvl>
    <w:lvl w:ilvl="7" w:tplc="2CFE98EE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9959"/>
        <w:sz w:val="21"/>
      </w:rPr>
    </w:lvl>
    <w:lvl w:ilvl="8" w:tplc="801C59E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9959"/>
        <w:sz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854"/>
    <w:rsid w:val="00417854"/>
    <w:rsid w:val="00AB1261"/>
    <w:rsid w:val="00AB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81C6A9-5A83-4913-8E82-6A3200082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nita-farm.ru/vetvracham/pticy/disease-sindrom-snizheniya-yaytsenoskosti-ed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Васильевна Волкова</dc:creator>
  <cp:lastModifiedBy>Анна Васильевна Волкова</cp:lastModifiedBy>
  <cp:revision>2</cp:revision>
  <dcterms:created xsi:type="dcterms:W3CDTF">2026-02-17T08:34:00Z</dcterms:created>
  <dcterms:modified xsi:type="dcterms:W3CDTF">2026-02-17T08:34:00Z</dcterms:modified>
</cp:coreProperties>
</file>